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E1802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7C19F83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7773B220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  <w:t>省级青春健康教育基地升级改造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项目</w:t>
      </w:r>
    </w:p>
    <w:p w14:paraId="16FD90CE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工作方案</w:t>
      </w:r>
    </w:p>
    <w:p w14:paraId="7B721FFA">
      <w:pPr>
        <w:pStyle w:val="2"/>
        <w:keepNext w:val="0"/>
        <w:keepLines w:val="0"/>
        <w:pageBreakBefore w:val="0"/>
        <w:widowControl w:val="0"/>
        <w:shd w:val="clear" w:color="auto" w:fill="FFFFFF"/>
        <w:wordWrap/>
        <w:topLinePunct w:val="0"/>
        <w:bidi w:val="0"/>
        <w:spacing w:before="0" w:beforeAutospacing="0" w:after="0" w:afterAutospacing="0" w:line="520" w:lineRule="exact"/>
        <w:rPr>
          <w:rFonts w:hint="eastAsia" w:ascii="微软雅黑" w:hAnsi="微软雅黑" w:eastAsia="微软雅黑"/>
          <w:color w:val="auto"/>
        </w:rPr>
      </w:pPr>
    </w:p>
    <w:p w14:paraId="0452922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为深入贯彻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中国计生协青春健康工作五年规划（2020-2025年）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《中国计生协关于申报国家级青春健康教育基地的通知》（国计生协办〔2024〕41号）文件精神，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加强青春健康阵地品牌化、规范化建设，进一步完善学校、家庭、社会三位一体紧密互动的工作模式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巩固全省青春健康工作成效，山西省计生协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决定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实施省级青春健康教育基地升级改造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具体方案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如下：</w:t>
      </w:r>
    </w:p>
    <w:p w14:paraId="100C3E8F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一、指导思想</w:t>
      </w:r>
    </w:p>
    <w:p w14:paraId="398534EF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面贯彻落实党的二十大及二十届历次全会精神，以习近平新时代中国特色社会主义思想为指导，以人民健康为中心，响应国家“健康山西2030”战略要求，进一步提升我省青少年性与生殖健康教育服务水平。通过优化功能布局、强化师资队伍，打造一个理念先进、设施完善、功能齐全、特色鲜明、辐射广泛的省级青春健康教育示范基地，成为全省青春健康教育的示范中心、研究中心和资源中心。</w:t>
      </w:r>
    </w:p>
    <w:p w14:paraId="1FD98482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二、工作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目标</w:t>
      </w:r>
    </w:p>
    <w:p w14:paraId="0D69841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总体目标</w:t>
      </w:r>
    </w:p>
    <w:p w14:paraId="242DAF8B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以“组织领导好、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队伍建设好、健康服务好、环境营造好、群众满意好”五好为标准，在全省择优重点打造1个项目单位为省级青春健康教育基地升级改造项目试点，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试点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的示范引领作用，推动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全省青春健康阵地建设工作深入开展、取得成效。</w:t>
      </w:r>
    </w:p>
    <w:p w14:paraId="74C459FC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 xml:space="preserve">（二）量化目标 </w:t>
      </w:r>
    </w:p>
    <w:p w14:paraId="65284E9B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 年均服务青少年及家长人数提升50%以上，开展专题活动不少于20场，成为全省青春健康教育的核心阵地；</w:t>
      </w:r>
    </w:p>
    <w:p w14:paraId="10C35E6B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 辖区青少年对青春健康知识的知晓率、正确态度持有率提高到90%；</w:t>
      </w:r>
    </w:p>
    <w:p w14:paraId="0AE4DEDF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3. 形成可复制、可推广的基地建设模式，带动省、市、县三级青春健康教育阵地标准化规范化发展，为我省青少年健康成长保驾护航。 </w:t>
      </w:r>
    </w:p>
    <w:p w14:paraId="58CABE00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三、基本原则</w:t>
      </w:r>
    </w:p>
    <w:p w14:paraId="3989430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（一）坚持以人为本，服务青年。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以青少年需求为导向，尊重青少年身心发展规律。</w:t>
      </w:r>
    </w:p>
    <w:p w14:paraId="5899043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（二）坚持科学规范，专业引领。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依据中国计生协青春健康工作有关标准和要求，确保开展活动内容科学、方法规范。</w:t>
      </w:r>
    </w:p>
    <w:p w14:paraId="7CC5EDD6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（三）坚持创新驱动，科技赋能。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运用多媒体互动、大数据等现代技术提升基地教育培训体验。</w:t>
      </w:r>
    </w:p>
    <w:p w14:paraId="09D5777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（四）坚持资源整合，协同推进。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联合卫健、教育、团委、妇联、学校、社会组织等多方力量，形成合力。</w:t>
      </w:r>
    </w:p>
    <w:p w14:paraId="21673967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（五）坚持示范引领，辐射带动。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发挥省级基地的示范作用，带动市、县（区）级基地建设。在鼓励试点先行先试、创新体制的同时，及时总结先进经验和有效做法，树立示范典型，同步进行推广。</w:t>
      </w:r>
    </w:p>
    <w:p w14:paraId="46383CDE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主要任务及标准</w:t>
      </w:r>
    </w:p>
    <w:p w14:paraId="090C6088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（一）组织领导好</w:t>
      </w:r>
    </w:p>
    <w:p w14:paraId="5D8B1B69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‌强化党政主导机制，建立多部门协同领导小组，将青春健康教育纳入项目单位发展规划和年度考核体系。明确职责分工，制定基地建设与运营的标准化流程，确保政策落地和资源整合。‌</w:t>
      </w:r>
    </w:p>
    <w:p w14:paraId="4725F4A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队伍建设好</w:t>
      </w:r>
    </w:p>
    <w:p w14:paraId="068E7511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建专业化师资队伍，涵盖高校专家、骨干教师、同伴教育志愿者等，提供分层培训‌。配备省级青春健康培训师，定期开展青少年人生技能培训和同伴教育主持人培训。建立“专家+骨干教师+同伴教育者”三级服务梯队，覆盖全年龄段青少年需求。‌</w:t>
      </w:r>
    </w:p>
    <w:p w14:paraId="2BF1BCD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（三）健康服务好</w:t>
      </w:r>
    </w:p>
    <w:p w14:paraId="23430BD1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根据青少年生长发育的不同阶段，‌分年龄段设计教育内容，每年开展不少于12场专题讲座或线上线下互动活动。建立“线上咨询+线下服务”双通道，提供个性化健康指导。</w:t>
      </w:r>
    </w:p>
    <w:p w14:paraId="1A0A83C9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（四）环境营造好</w:t>
      </w:r>
    </w:p>
    <w:p w14:paraId="40C3646B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打造友好型互动空间，设置咨询区、活动区、数字化学习区，优化隐私保护措施。基地功能区面积不低于100平方米，配备多媒体设备和健康宣传资料。推动校园、社区、家庭联动，形成“三位一体”支持网络。‌</w:t>
      </w:r>
    </w:p>
    <w:p w14:paraId="75941CAA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（五）群众满意好</w:t>
      </w:r>
    </w:p>
    <w:p w14:paraId="7341D4C8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通过满意度调查、志愿服务反馈等动态评估服务效果，优化服务供给。年度服务覆盖80%以上目标人群，满意度达90%以上。建立“需求-服务-评价”闭环机制，定期公开改进措施。‌</w:t>
      </w:r>
    </w:p>
    <w:p w14:paraId="388E5FC7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五、组织与实施</w:t>
      </w:r>
    </w:p>
    <w:p w14:paraId="6B925F17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（一）加强组织领导</w:t>
      </w:r>
    </w:p>
    <w:p w14:paraId="0532EBB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各地要提高认识，积极争取党委、政府支持，把项目推进作为推动青春健康工作的有力抓手。市级计生协要加强对该项目工作的督促指导，项目单位负责制订工作实施方案、年度活动计划，推动落实试点措施。</w:t>
      </w:r>
    </w:p>
    <w:p w14:paraId="31C99A2B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（二）加强规范管理</w:t>
      </w:r>
    </w:p>
    <w:p w14:paraId="46E1739A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项目单位要按照财政资金管理要求，合规使用项目经费，提高项目效益。要加强项目规范化、科学化管理，按时提交项目经费使用进度等材料，审核后统一报送至省计生协。</w:t>
      </w:r>
    </w:p>
    <w:p w14:paraId="7E82CE3E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（三）适时总结推广</w:t>
      </w:r>
    </w:p>
    <w:p w14:paraId="6024C0E4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项目旨在打造全省样板，供各地学习借鉴。各市计生协和项目单位要及时总结工作经验，宣传工作成效，形成带动示范效应。</w:t>
      </w:r>
    </w:p>
    <w:p w14:paraId="59B9F4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B2967"/>
    <w:rsid w:val="49BB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2025-10-30T03:44:00Z</dcterms:created>
  <dc:creator>喵了个咪</dc:creator>
  <cp:lastModifiedBy>喵了个咪</cp:lastModifiedBy>
  <dcterms:modified xsi:type="dcterms:W3CDTF">2025-10-30T03:46:04Z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0AA459257A1B42B69A26434843EDD1AC_11</vt:lpwstr>
  </property>
  <property fmtid="{D5CDD505-2E9C-101B-9397-08002B2CF9AE}" pid="4" name="KSOTemplateDocerSaveRecord">
    <vt:lpwstr>eyJoZGlkIjoiOWY5OWNjOTM4ODZhMWZmNzU4NThlMzNhYjRlYTI3MzUiLCJ1c2VySWQiOiIyNTU5NDE5ODkifQ==</vt:lpwstr>
  </property>
</Properties>
</file>